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7692" w:rsidRDefault="00A47692">
      <w:pPr>
        <w:rPr>
          <w:rFonts w:ascii="Georgia" w:hAnsi="Georgia"/>
          <w:bCs/>
          <w:iCs/>
          <w:sz w:val="24"/>
          <w:szCs w:val="24"/>
        </w:rPr>
      </w:pPr>
      <w:r>
        <w:rPr>
          <w:rFonts w:ascii="Georgia" w:hAnsi="Georgia"/>
          <w:sz w:val="24"/>
          <w:szCs w:val="24"/>
        </w:rPr>
        <w:t xml:space="preserve">When you look to the Constitution as it discusses the rights and responsibilities of student’s kind of contradicts itself. We as humans are supposed to have freedom of speech, but because you’re a minor you don’t have these rights and entitlements. </w:t>
      </w:r>
      <w:r w:rsidR="00CF36B5">
        <w:rPr>
          <w:rFonts w:ascii="Georgia" w:hAnsi="Georgia"/>
          <w:sz w:val="24"/>
          <w:szCs w:val="24"/>
        </w:rPr>
        <w:t xml:space="preserve">When a student is enrolled in a public school, this gives the school loco </w:t>
      </w:r>
      <w:r w:rsidR="00CF36B5" w:rsidRPr="00CF36B5">
        <w:rPr>
          <w:rFonts w:ascii="Georgia" w:hAnsi="Georgia"/>
          <w:bCs/>
          <w:iCs/>
          <w:sz w:val="24"/>
          <w:szCs w:val="24"/>
        </w:rPr>
        <w:t>parentis</w:t>
      </w:r>
      <w:r w:rsidR="00CF36B5">
        <w:rPr>
          <w:rFonts w:ascii="Georgia" w:hAnsi="Georgia"/>
          <w:bCs/>
          <w:iCs/>
          <w:sz w:val="24"/>
          <w:szCs w:val="24"/>
        </w:rPr>
        <w:t xml:space="preserve"> which means the school acts as the parent. This does not apply to private schools. </w:t>
      </w:r>
      <w:r w:rsidR="00F8769E">
        <w:rPr>
          <w:rFonts w:ascii="Georgia" w:hAnsi="Georgia"/>
          <w:bCs/>
          <w:iCs/>
          <w:sz w:val="24"/>
          <w:szCs w:val="24"/>
        </w:rPr>
        <w:t xml:space="preserve">A student really doesn’t have any rights while enrolled in a public school. It doesn’t matter if it’s pertaining to the newspaper or search and seizures. Whatever the situation maybe the school basically has authority to do what is in their power and custody. </w:t>
      </w:r>
      <w:bookmarkStart w:id="0" w:name="_GoBack"/>
      <w:bookmarkEnd w:id="0"/>
    </w:p>
    <w:p w:rsidR="00F8769E" w:rsidRDefault="00F8769E">
      <w:pPr>
        <w:rPr>
          <w:rFonts w:ascii="Georgia" w:hAnsi="Georgia"/>
          <w:sz w:val="24"/>
          <w:szCs w:val="24"/>
        </w:rPr>
      </w:pPr>
      <w:r>
        <w:rPr>
          <w:rFonts w:ascii="Georgia" w:hAnsi="Georgia"/>
          <w:sz w:val="24"/>
          <w:szCs w:val="24"/>
        </w:rPr>
        <w:t>“</w:t>
      </w:r>
      <w:r w:rsidR="00CF36B5" w:rsidRPr="00CF36B5">
        <w:rPr>
          <w:rFonts w:ascii="Georgia" w:hAnsi="Georgia"/>
          <w:sz w:val="24"/>
          <w:szCs w:val="24"/>
        </w:rPr>
        <w:t xml:space="preserve">The Supreme Court has held that schools and school administrators can censor student publications such as student newspapers. The difference between the tolerance of expression, as in Tinker, and in promotion of student views, is the key. By wearing an arm band, a student is expressing his view and the school is not taking a stand, nor endorsing the student. But in a student newspaper, the school itself is represented in the newspaper, and by publishing a student piece, is now no longer a passive observer but an active participant. In </w:t>
      </w:r>
      <w:r w:rsidR="00CF36B5" w:rsidRPr="00CF36B5">
        <w:rPr>
          <w:rFonts w:ascii="Georgia" w:hAnsi="Georgia"/>
          <w:i/>
          <w:iCs/>
          <w:sz w:val="24"/>
          <w:szCs w:val="24"/>
        </w:rPr>
        <w:t>Hazelwood School v Kuhlmeier</w:t>
      </w:r>
      <w:r w:rsidR="00CF36B5" w:rsidRPr="00CF36B5">
        <w:rPr>
          <w:rFonts w:ascii="Georgia" w:hAnsi="Georgia"/>
          <w:sz w:val="24"/>
          <w:szCs w:val="24"/>
        </w:rPr>
        <w:t xml:space="preserve"> (484 US 260 [1988]), the Supreme Court ruled that articles in the school paper that were counter to the educational mission of the sc</w:t>
      </w:r>
      <w:r w:rsidR="00CF36B5">
        <w:rPr>
          <w:rFonts w:ascii="Georgia" w:hAnsi="Georgia"/>
          <w:sz w:val="24"/>
          <w:szCs w:val="24"/>
        </w:rPr>
        <w:t>hool were subject to censorship (</w:t>
      </w:r>
      <w:r w:rsidR="00CF36B5" w:rsidRPr="00CF36B5">
        <w:rPr>
          <w:rFonts w:ascii="Georgia" w:hAnsi="Georgia"/>
          <w:sz w:val="24"/>
          <w:szCs w:val="24"/>
        </w:rPr>
        <w:t xml:space="preserve">Mount, S. (2010). </w:t>
      </w:r>
      <w:r w:rsidR="00CF36B5" w:rsidRPr="00CF36B5">
        <w:rPr>
          <w:rFonts w:ascii="Georgia" w:hAnsi="Georgia"/>
          <w:i/>
          <w:iCs/>
          <w:sz w:val="24"/>
          <w:szCs w:val="24"/>
        </w:rPr>
        <w:t>Constitutional topic: due process.</w:t>
      </w:r>
      <w:r w:rsidR="00CF36B5" w:rsidRPr="00CF36B5">
        <w:rPr>
          <w:rFonts w:ascii="Georgia" w:hAnsi="Georgia"/>
          <w:sz w:val="24"/>
          <w:szCs w:val="24"/>
        </w:rPr>
        <w:t xml:space="preserve"> Retrieved February 23, 2011 from //www.usconstitution.net/consttop_duep.html</w:t>
      </w:r>
      <w:r>
        <w:rPr>
          <w:rFonts w:ascii="Georgia" w:hAnsi="Georgia"/>
          <w:sz w:val="24"/>
          <w:szCs w:val="24"/>
        </w:rPr>
        <w:t>).”</w:t>
      </w:r>
    </w:p>
    <w:p w:rsidR="00A47692" w:rsidRDefault="00E34537">
      <w:pPr>
        <w:rPr>
          <w:rFonts w:ascii="Georgia" w:hAnsi="Georgia"/>
          <w:sz w:val="24"/>
          <w:szCs w:val="24"/>
        </w:rPr>
      </w:pPr>
      <w:r>
        <w:rPr>
          <w:rFonts w:ascii="Georgia" w:hAnsi="Georgia"/>
          <w:sz w:val="24"/>
          <w:szCs w:val="24"/>
        </w:rPr>
        <w:t xml:space="preserve">The educational lawsuit I will be reviewing is the </w:t>
      </w:r>
      <w:r w:rsidRPr="00E34537">
        <w:rPr>
          <w:rFonts w:ascii="Georgia" w:hAnsi="Georgia"/>
          <w:sz w:val="24"/>
          <w:szCs w:val="24"/>
        </w:rPr>
        <w:t>Brown v. Board of Education of Topeka, 347 U.S. 483 (1954)</w:t>
      </w:r>
      <w:r>
        <w:rPr>
          <w:rFonts w:ascii="Georgia" w:hAnsi="Georgia"/>
          <w:sz w:val="24"/>
          <w:szCs w:val="24"/>
        </w:rPr>
        <w:t xml:space="preserve">, the lawsuit is disputing the segregation of students by race in the communities. It began when the NAACP in </w:t>
      </w:r>
      <w:r w:rsidR="00BF5931">
        <w:rPr>
          <w:rFonts w:ascii="Georgia" w:hAnsi="Georgia"/>
          <w:sz w:val="24"/>
          <w:szCs w:val="24"/>
        </w:rPr>
        <w:t>Topeka</w:t>
      </w:r>
      <w:r>
        <w:rPr>
          <w:rFonts w:ascii="Georgia" w:hAnsi="Georgia"/>
          <w:sz w:val="24"/>
          <w:szCs w:val="24"/>
        </w:rPr>
        <w:t xml:space="preserve">, KS that wanted to challenge the law. The found 13 parents to enroll 20 children into the closet school in their district that was designated for whites only. The children were denied enrollment into the school and referred to the African American school. One parent </w:t>
      </w:r>
      <w:r w:rsidR="00BF5931">
        <w:rPr>
          <w:rFonts w:ascii="Georgia" w:hAnsi="Georgia"/>
          <w:sz w:val="24"/>
          <w:szCs w:val="24"/>
        </w:rPr>
        <w:t>Linda Brown</w:t>
      </w:r>
      <w:r>
        <w:rPr>
          <w:rFonts w:ascii="Georgia" w:hAnsi="Georgia"/>
          <w:sz w:val="24"/>
          <w:szCs w:val="24"/>
        </w:rPr>
        <w:t xml:space="preserve"> </w:t>
      </w:r>
      <w:r w:rsidR="00BF5931">
        <w:rPr>
          <w:rFonts w:ascii="Georgia" w:hAnsi="Georgia"/>
          <w:sz w:val="24"/>
          <w:szCs w:val="24"/>
        </w:rPr>
        <w:t>whose</w:t>
      </w:r>
      <w:r>
        <w:rPr>
          <w:rFonts w:ascii="Georgia" w:hAnsi="Georgia"/>
          <w:sz w:val="24"/>
          <w:szCs w:val="24"/>
        </w:rPr>
        <w:t xml:space="preserve"> child could merely walk down the street to school instead had to </w:t>
      </w:r>
      <w:r w:rsidR="00BF5931">
        <w:rPr>
          <w:rFonts w:ascii="Georgia" w:hAnsi="Georgia"/>
          <w:sz w:val="24"/>
          <w:szCs w:val="24"/>
        </w:rPr>
        <w:t>w</w:t>
      </w:r>
      <w:r>
        <w:rPr>
          <w:rFonts w:ascii="Georgia" w:hAnsi="Georgia"/>
          <w:sz w:val="24"/>
          <w:szCs w:val="24"/>
        </w:rPr>
        <w:t xml:space="preserve">alk an unlimited distance to a bus stop and catch a bus for a mile to attend an African American school.  Once the NAACP </w:t>
      </w:r>
      <w:r w:rsidR="00BF5931">
        <w:rPr>
          <w:rFonts w:ascii="Georgia" w:hAnsi="Georgia"/>
          <w:sz w:val="24"/>
          <w:szCs w:val="24"/>
        </w:rPr>
        <w:t>was aware that the children were denied enrollment into the schools, they moved forward with the lawsuit, that was denied at the trial level court. The court was fully aware that the law had a negative impact on the African American education, they felt that the</w:t>
      </w:r>
      <w:r w:rsidR="00BF5931" w:rsidRPr="00BF5931">
        <w:t xml:space="preserve"> </w:t>
      </w:r>
      <w:r w:rsidR="00BF5931" w:rsidRPr="00BF5931">
        <w:rPr>
          <w:rFonts w:ascii="Georgia" w:hAnsi="Georgia"/>
          <w:sz w:val="24"/>
          <w:szCs w:val="24"/>
        </w:rPr>
        <w:t>Plessy v. Ferguson</w:t>
      </w:r>
      <w:r w:rsidR="00BF5931">
        <w:rPr>
          <w:rFonts w:ascii="Georgia" w:hAnsi="Georgia"/>
          <w:sz w:val="24"/>
          <w:szCs w:val="24"/>
        </w:rPr>
        <w:t xml:space="preserve"> ensured that the schools were equal with the same teachers, curriculum, </w:t>
      </w:r>
      <w:r w:rsidR="00BF5931" w:rsidRPr="00BF5931">
        <w:rPr>
          <w:rFonts w:ascii="Georgia" w:hAnsi="Georgia"/>
          <w:sz w:val="24"/>
          <w:szCs w:val="24"/>
        </w:rPr>
        <w:t>facilities, and transportation</w:t>
      </w:r>
      <w:r w:rsidR="00BF5931">
        <w:rPr>
          <w:rFonts w:ascii="Georgia" w:hAnsi="Georgia"/>
          <w:sz w:val="24"/>
          <w:szCs w:val="24"/>
        </w:rPr>
        <w:t xml:space="preserve">. The NAACP didn’t challenge those findings. There was an appeal put in motion, but it was combined with a few other lawsuits. The end state was that the case stood apart from the others, but no real change came about. After reading and learning about this </w:t>
      </w:r>
      <w:r w:rsidR="00CF36B5">
        <w:rPr>
          <w:rFonts w:ascii="Georgia" w:hAnsi="Georgia"/>
          <w:sz w:val="24"/>
          <w:szCs w:val="24"/>
        </w:rPr>
        <w:t>lawsuit</w:t>
      </w:r>
      <w:r w:rsidR="00BF5931">
        <w:rPr>
          <w:rFonts w:ascii="Georgia" w:hAnsi="Georgia"/>
          <w:sz w:val="24"/>
          <w:szCs w:val="24"/>
        </w:rPr>
        <w:t xml:space="preserve">, I don’t want to think that this could happen </w:t>
      </w:r>
      <w:r w:rsidR="00CF36B5">
        <w:rPr>
          <w:rFonts w:ascii="Georgia" w:hAnsi="Georgia"/>
          <w:sz w:val="24"/>
          <w:szCs w:val="24"/>
        </w:rPr>
        <w:t>currently</w:t>
      </w:r>
      <w:r w:rsidR="00BF5931">
        <w:rPr>
          <w:rFonts w:ascii="Georgia" w:hAnsi="Georgia"/>
          <w:sz w:val="24"/>
          <w:szCs w:val="24"/>
        </w:rPr>
        <w:t xml:space="preserve">, but just because the era change doesn’t necessarily mean </w:t>
      </w:r>
      <w:r w:rsidR="00CF36B5">
        <w:rPr>
          <w:rFonts w:ascii="Georgia" w:hAnsi="Georgia"/>
          <w:sz w:val="24"/>
          <w:szCs w:val="24"/>
        </w:rPr>
        <w:t>that people will change or accept the change. I</w:t>
      </w:r>
    </w:p>
    <w:p w:rsidR="00A47692" w:rsidRDefault="00A47692" w:rsidP="00A47692">
      <w:pPr>
        <w:jc w:val="center"/>
        <w:rPr>
          <w:rFonts w:ascii="Georgia" w:hAnsi="Georgia"/>
          <w:sz w:val="24"/>
          <w:szCs w:val="24"/>
        </w:rPr>
      </w:pPr>
      <w:r>
        <w:rPr>
          <w:rFonts w:ascii="Georgia" w:hAnsi="Georgia"/>
          <w:sz w:val="24"/>
          <w:szCs w:val="24"/>
        </w:rPr>
        <w:t>Reference:</w:t>
      </w:r>
    </w:p>
    <w:p w:rsidR="00E34537" w:rsidRDefault="00F8769E" w:rsidP="00CF36B5">
      <w:pPr>
        <w:rPr>
          <w:rFonts w:ascii="Georgia" w:hAnsi="Georgia"/>
          <w:sz w:val="24"/>
          <w:szCs w:val="24"/>
        </w:rPr>
      </w:pPr>
      <w:r w:rsidRPr="00F8769E">
        <w:rPr>
          <w:rFonts w:ascii="Georgia" w:hAnsi="Georgia"/>
          <w:sz w:val="24"/>
          <w:szCs w:val="24"/>
        </w:rPr>
        <w:t xml:space="preserve">Mount, S. (2010). </w:t>
      </w:r>
      <w:r w:rsidRPr="00F8769E">
        <w:rPr>
          <w:rFonts w:ascii="Georgia" w:hAnsi="Georgia"/>
          <w:i/>
          <w:iCs/>
          <w:sz w:val="24"/>
          <w:szCs w:val="24"/>
        </w:rPr>
        <w:t>Constitutional topic: due process.</w:t>
      </w:r>
      <w:r w:rsidRPr="00F8769E">
        <w:rPr>
          <w:rFonts w:ascii="Georgia" w:hAnsi="Georgia"/>
          <w:sz w:val="24"/>
          <w:szCs w:val="24"/>
        </w:rPr>
        <w:t xml:space="preserve"> Retrieved February 23, 2011 from //www.usconstitution.net/consttop_duep.html</w:t>
      </w:r>
    </w:p>
    <w:p w:rsidR="00E34537" w:rsidRDefault="00E34537" w:rsidP="00E34537">
      <w:pPr>
        <w:rPr>
          <w:rFonts w:ascii="Georgia" w:hAnsi="Georgia"/>
          <w:sz w:val="24"/>
          <w:szCs w:val="24"/>
        </w:rPr>
      </w:pPr>
      <w:hyperlink r:id="rId4" w:history="1">
        <w:r w:rsidRPr="00BC54A9">
          <w:rPr>
            <w:rStyle w:val="Hyperlink"/>
            <w:rFonts w:ascii="Georgia" w:hAnsi="Georgia"/>
            <w:sz w:val="24"/>
            <w:szCs w:val="24"/>
          </w:rPr>
          <w:t>https://supreme.justia.com/cases/federal/us/347/483/#493</w:t>
        </w:r>
      </w:hyperlink>
    </w:p>
    <w:p w:rsidR="00E34537" w:rsidRPr="00A47692" w:rsidRDefault="00E34537" w:rsidP="00E34537">
      <w:pPr>
        <w:rPr>
          <w:rFonts w:ascii="Georgia" w:hAnsi="Georgia"/>
          <w:sz w:val="24"/>
          <w:szCs w:val="24"/>
        </w:rPr>
      </w:pPr>
    </w:p>
    <w:sectPr w:rsidR="00E34537" w:rsidRPr="00A476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692"/>
    <w:rsid w:val="00A47692"/>
    <w:rsid w:val="00BF5931"/>
    <w:rsid w:val="00CF36B5"/>
    <w:rsid w:val="00E34537"/>
    <w:rsid w:val="00F8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85E3"/>
  <w15:chartTrackingRefBased/>
  <w15:docId w15:val="{DCB7C603-C336-4F87-B88C-02E7CE2D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4537"/>
    <w:rPr>
      <w:color w:val="0563C1" w:themeColor="hyperlink"/>
      <w:u w:val="single"/>
    </w:rPr>
  </w:style>
  <w:style w:type="character" w:styleId="UnresolvedMention">
    <w:name w:val="Unresolved Mention"/>
    <w:basedOn w:val="DefaultParagraphFont"/>
    <w:uiPriority w:val="99"/>
    <w:semiHidden/>
    <w:unhideWhenUsed/>
    <w:rsid w:val="00E345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preme.justia.com/cases/federal/us/347/483/#4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lanita clark</dc:creator>
  <cp:keywords/>
  <dc:description/>
  <cp:lastModifiedBy>lanita clark</cp:lastModifiedBy>
  <cp:revision>1</cp:revision>
  <dcterms:created xsi:type="dcterms:W3CDTF">2018-11-22T03:47:00Z</dcterms:created>
  <dcterms:modified xsi:type="dcterms:W3CDTF">2018-11-22T04:39:00Z</dcterms:modified>
</cp:coreProperties>
</file>